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B6" w:rsidRPr="00870DB6" w:rsidRDefault="00870DB6" w:rsidP="00870DB6">
      <w:pPr>
        <w:pStyle w:val="a3"/>
        <w:shd w:val="clear" w:color="auto" w:fill="FFFFFF"/>
        <w:spacing w:before="0" w:beforeAutospacing="0" w:after="0" w:afterAutospacing="0"/>
        <w:ind w:firstLine="709"/>
        <w:textAlignment w:val="top"/>
        <w:rPr>
          <w:rFonts w:ascii="Times New Roman" w:hAnsi="Times New Roman"/>
          <w:sz w:val="26"/>
          <w:szCs w:val="26"/>
        </w:rPr>
      </w:pPr>
    </w:p>
    <w:p w:rsidR="00870DB6" w:rsidRPr="00870DB6" w:rsidRDefault="00870DB6" w:rsidP="00870DB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ascii="Times New Roman" w:hAnsi="Times New Roman"/>
          <w:caps/>
          <w:sz w:val="26"/>
          <w:szCs w:val="26"/>
        </w:rPr>
      </w:pPr>
    </w:p>
    <w:p w:rsidR="00870DB6" w:rsidRDefault="00870DB6" w:rsidP="00492F24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rFonts w:ascii="Times New Roman" w:hAnsi="Times New Roman"/>
          <w:b/>
          <w:sz w:val="26"/>
          <w:szCs w:val="26"/>
        </w:rPr>
      </w:pPr>
      <w:r w:rsidRPr="00492F24">
        <w:rPr>
          <w:rFonts w:ascii="Times New Roman" w:hAnsi="Times New Roman"/>
          <w:b/>
          <w:sz w:val="26"/>
          <w:szCs w:val="26"/>
        </w:rPr>
        <w:t>«Международный день борьбы с безграмотностью»</w:t>
      </w:r>
    </w:p>
    <w:p w:rsidR="006436C4" w:rsidRPr="00492F24" w:rsidRDefault="006436C4" w:rsidP="00492F24">
      <w:pPr>
        <w:pStyle w:val="a3"/>
        <w:shd w:val="clear" w:color="auto" w:fill="FFFFFF"/>
        <w:spacing w:before="0" w:beforeAutospacing="0" w:after="0" w:afterAutospacing="0"/>
        <w:jc w:val="center"/>
        <w:textAlignment w:val="top"/>
        <w:rPr>
          <w:rFonts w:ascii="Times New Roman" w:hAnsi="Times New Roman"/>
          <w:b/>
          <w:caps/>
          <w:sz w:val="26"/>
          <w:szCs w:val="26"/>
        </w:rPr>
      </w:pPr>
      <w:bookmarkStart w:id="0" w:name="_GoBack"/>
      <w:bookmarkEnd w:id="0"/>
    </w:p>
    <w:p w:rsidR="000F1E4E" w:rsidRDefault="008C68B6" w:rsidP="008C68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Школа – основной источник знаний, умений и</w:t>
      </w:r>
      <w:r w:rsidR="001B149D">
        <w:rPr>
          <w:rFonts w:ascii="Times New Roman" w:hAnsi="Times New Roman" w:cs="Times New Roman"/>
          <w:sz w:val="26"/>
          <w:szCs w:val="26"/>
        </w:rPr>
        <w:t xml:space="preserve"> навыков, необходимы</w:t>
      </w:r>
      <w:r>
        <w:rPr>
          <w:rFonts w:ascii="Times New Roman" w:hAnsi="Times New Roman" w:cs="Times New Roman"/>
          <w:sz w:val="26"/>
          <w:szCs w:val="26"/>
        </w:rPr>
        <w:t xml:space="preserve">х для жизни человека в обществе. </w:t>
      </w:r>
      <w:r w:rsidR="002C2FF5">
        <w:rPr>
          <w:rFonts w:ascii="Times New Roman" w:hAnsi="Times New Roman" w:cs="Times New Roman"/>
          <w:sz w:val="26"/>
          <w:szCs w:val="26"/>
        </w:rPr>
        <w:t xml:space="preserve">На начало </w:t>
      </w:r>
      <w:r w:rsidR="000F1E4E" w:rsidRPr="00870DB6">
        <w:rPr>
          <w:rFonts w:ascii="Times New Roman" w:hAnsi="Times New Roman" w:cs="Times New Roman"/>
          <w:sz w:val="26"/>
          <w:szCs w:val="26"/>
        </w:rPr>
        <w:t>2019</w:t>
      </w:r>
      <w:r w:rsidR="00D23E3A" w:rsidRPr="00870DB6">
        <w:rPr>
          <w:rFonts w:ascii="Times New Roman" w:hAnsi="Times New Roman" w:cs="Times New Roman"/>
          <w:sz w:val="26"/>
          <w:szCs w:val="26"/>
        </w:rPr>
        <w:t>/</w:t>
      </w:r>
      <w:r w:rsidR="002C2FF5">
        <w:rPr>
          <w:rFonts w:ascii="Times New Roman" w:hAnsi="Times New Roman" w:cs="Times New Roman"/>
          <w:sz w:val="26"/>
          <w:szCs w:val="26"/>
        </w:rPr>
        <w:t>20</w:t>
      </w:r>
      <w:r w:rsidR="00D23E3A" w:rsidRPr="00870DB6">
        <w:rPr>
          <w:rFonts w:ascii="Times New Roman" w:hAnsi="Times New Roman" w:cs="Times New Roman"/>
          <w:sz w:val="26"/>
          <w:szCs w:val="26"/>
        </w:rPr>
        <w:t>20</w:t>
      </w:r>
      <w:r w:rsidR="000F1E4E" w:rsidRPr="00870DB6">
        <w:rPr>
          <w:rFonts w:ascii="Times New Roman" w:hAnsi="Times New Roman" w:cs="Times New Roman"/>
          <w:sz w:val="26"/>
          <w:szCs w:val="26"/>
        </w:rPr>
        <w:t xml:space="preserve"> </w:t>
      </w:r>
      <w:r w:rsidR="002C2FF5">
        <w:rPr>
          <w:rFonts w:ascii="Times New Roman" w:hAnsi="Times New Roman" w:cs="Times New Roman"/>
          <w:sz w:val="26"/>
          <w:szCs w:val="26"/>
        </w:rPr>
        <w:t xml:space="preserve">учебного года основы общего образования в крае постигали 275,0 тыс. </w:t>
      </w:r>
      <w:r>
        <w:rPr>
          <w:rFonts w:ascii="Times New Roman" w:hAnsi="Times New Roman" w:cs="Times New Roman"/>
          <w:sz w:val="26"/>
          <w:szCs w:val="26"/>
        </w:rPr>
        <w:t>человек</w:t>
      </w:r>
      <w:r w:rsidR="00F225F3">
        <w:rPr>
          <w:rStyle w:val="a6"/>
          <w:rFonts w:ascii="Times New Roman" w:hAnsi="Times New Roman" w:cs="Times New Roman"/>
          <w:sz w:val="26"/>
          <w:szCs w:val="26"/>
        </w:rPr>
        <w:footnoteReference w:id="1"/>
      </w:r>
      <w:r w:rsidR="002C2FF5">
        <w:rPr>
          <w:rFonts w:ascii="Times New Roman" w:hAnsi="Times New Roman" w:cs="Times New Roman"/>
          <w:sz w:val="26"/>
          <w:szCs w:val="26"/>
        </w:rPr>
        <w:t>.</w:t>
      </w:r>
      <w:r w:rsidR="00540716">
        <w:rPr>
          <w:rFonts w:ascii="Times New Roman" w:hAnsi="Times New Roman" w:cs="Times New Roman"/>
          <w:sz w:val="26"/>
          <w:szCs w:val="26"/>
        </w:rPr>
        <w:t xml:space="preserve"> За последние пять лет </w:t>
      </w:r>
      <w:r w:rsidR="000F1E4E" w:rsidRPr="00870DB6">
        <w:rPr>
          <w:rFonts w:ascii="Times New Roman" w:hAnsi="Times New Roman" w:cs="Times New Roman"/>
          <w:sz w:val="26"/>
          <w:szCs w:val="26"/>
        </w:rPr>
        <w:t>число школьников</w:t>
      </w:r>
      <w:r w:rsidR="00907E5D" w:rsidRPr="00870DB6">
        <w:rPr>
          <w:rFonts w:ascii="Times New Roman" w:hAnsi="Times New Roman" w:cs="Times New Roman"/>
          <w:sz w:val="26"/>
          <w:szCs w:val="26"/>
        </w:rPr>
        <w:t xml:space="preserve"> увеличилось на 9,2%.</w:t>
      </w:r>
      <w:r w:rsidR="000F1E4E" w:rsidRPr="00870D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4F64" w:rsidRDefault="003E79C4" w:rsidP="00EB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2019 году из 9 в 10 клас</w:t>
      </w:r>
      <w:r w:rsidR="009E0BCB">
        <w:rPr>
          <w:rFonts w:ascii="Times New Roman" w:hAnsi="Times New Roman" w:cs="Times New Roman"/>
          <w:sz w:val="26"/>
          <w:szCs w:val="26"/>
        </w:rPr>
        <w:t>с перешел каждый второй обучающийся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E0BCB">
        <w:rPr>
          <w:rFonts w:ascii="Times New Roman" w:hAnsi="Times New Roman" w:cs="Times New Roman"/>
          <w:sz w:val="26"/>
          <w:szCs w:val="26"/>
        </w:rPr>
        <w:t>(</w:t>
      </w:r>
      <w:r w:rsidR="00C97A75">
        <w:rPr>
          <w:rFonts w:ascii="Times New Roman" w:hAnsi="Times New Roman" w:cs="Times New Roman"/>
          <w:sz w:val="26"/>
          <w:szCs w:val="26"/>
        </w:rPr>
        <w:t xml:space="preserve">10,8 тыс. человек). Решение о поступлении в </w:t>
      </w:r>
      <w:r w:rsidR="00A70705">
        <w:rPr>
          <w:rFonts w:ascii="Times New Roman" w:hAnsi="Times New Roman" w:cs="Times New Roman"/>
          <w:sz w:val="26"/>
          <w:szCs w:val="26"/>
        </w:rPr>
        <w:t>организации</w:t>
      </w:r>
      <w:r w:rsidR="00C97A75">
        <w:rPr>
          <w:rFonts w:ascii="Times New Roman" w:hAnsi="Times New Roman" w:cs="Times New Roman"/>
          <w:sz w:val="26"/>
          <w:szCs w:val="26"/>
        </w:rPr>
        <w:t xml:space="preserve"> среднего профессионального образования п</w:t>
      </w:r>
      <w:r w:rsidR="001C38A9">
        <w:rPr>
          <w:rFonts w:ascii="Times New Roman" w:hAnsi="Times New Roman" w:cs="Times New Roman"/>
          <w:sz w:val="26"/>
          <w:szCs w:val="26"/>
        </w:rPr>
        <w:t xml:space="preserve">о окончании 9 классов </w:t>
      </w:r>
      <w:r w:rsidR="00EB4F64">
        <w:rPr>
          <w:rFonts w:ascii="Times New Roman" w:hAnsi="Times New Roman" w:cs="Times New Roman"/>
          <w:sz w:val="26"/>
          <w:szCs w:val="26"/>
        </w:rPr>
        <w:t xml:space="preserve">в 2019 году </w:t>
      </w:r>
      <w:r w:rsidR="00C97A75">
        <w:rPr>
          <w:rFonts w:ascii="Times New Roman" w:hAnsi="Times New Roman" w:cs="Times New Roman"/>
          <w:sz w:val="26"/>
          <w:szCs w:val="26"/>
        </w:rPr>
        <w:t>приняли</w:t>
      </w:r>
      <w:r w:rsidR="00EB4F64">
        <w:rPr>
          <w:rFonts w:ascii="Times New Roman" w:hAnsi="Times New Roman" w:cs="Times New Roman"/>
          <w:sz w:val="26"/>
          <w:szCs w:val="26"/>
        </w:rPr>
        <w:t xml:space="preserve"> </w:t>
      </w:r>
      <w:r w:rsidR="001C38A9">
        <w:rPr>
          <w:rFonts w:ascii="Times New Roman" w:hAnsi="Times New Roman" w:cs="Times New Roman"/>
          <w:sz w:val="26"/>
          <w:szCs w:val="26"/>
        </w:rPr>
        <w:t xml:space="preserve">11,5 тыс. человек, из них 8,3 тыс. человек (или 72,3%) </w:t>
      </w:r>
      <w:r w:rsidR="00726B97">
        <w:rPr>
          <w:rFonts w:ascii="Times New Roman" w:hAnsi="Times New Roman" w:cs="Times New Roman"/>
          <w:sz w:val="26"/>
          <w:szCs w:val="26"/>
        </w:rPr>
        <w:t xml:space="preserve">поступили </w:t>
      </w:r>
      <w:r w:rsidR="001C38A9" w:rsidRPr="00870D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счет бюджетных </w:t>
      </w:r>
      <w:r w:rsidR="001C38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средств.</w:t>
      </w:r>
    </w:p>
    <w:p w:rsidR="00E2668E" w:rsidRDefault="00F803C6" w:rsidP="00870D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0D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Аттестат </w:t>
      </w:r>
      <w:r w:rsidR="00E26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окончании школы (11 классов) в 2019 году </w:t>
      </w:r>
      <w:r w:rsidRPr="00870D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получили 12</w:t>
      </w:r>
      <w:r w:rsidR="00E26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,1 тыс. человек, из них </w:t>
      </w:r>
      <w:r w:rsidR="005F3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968 человек (</w:t>
      </w:r>
      <w:r w:rsidR="00E26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каждый 12</w:t>
      </w:r>
      <w:r w:rsidR="005F3F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E266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закончил обучение с </w:t>
      </w:r>
      <w:r w:rsidRPr="00870D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отличием и медалью «За особые успехи в </w:t>
      </w:r>
      <w:r w:rsidR="00A531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учении».</w:t>
      </w:r>
      <w:r w:rsidR="007E49D1" w:rsidRPr="007E49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E49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7E49D1" w:rsidRPr="00870D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свидетельством об обучении</w:t>
      </w:r>
      <w:r w:rsidR="00DF3D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выпущено </w:t>
      </w:r>
      <w:r w:rsidR="00C328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DF3D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368 человек.</w:t>
      </w:r>
    </w:p>
    <w:p w:rsidR="005D138E" w:rsidRDefault="005D138E" w:rsidP="00F56E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высшие учебные заведения края в 2019 году поступило </w:t>
      </w:r>
      <w:r w:rsidR="00DF3D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10,7</w:t>
      </w:r>
      <w:r w:rsidR="00F561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225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тыс. человек</w:t>
      </w:r>
      <w:r w:rsidR="00F225F3">
        <w:rPr>
          <w:rStyle w:val="a6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footnoteReference w:id="2"/>
      </w:r>
      <w:r w:rsidR="00E326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(по </w:t>
      </w:r>
      <w:r w:rsidRPr="00870D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программам </w:t>
      </w:r>
      <w:proofErr w:type="spellStart"/>
      <w:r w:rsidR="00C52B4B" w:rsidRPr="00870D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бакалавриат</w:t>
      </w:r>
      <w:r w:rsidR="00C52B4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proofErr w:type="spellEnd"/>
      <w:r w:rsidRPr="00870D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870D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F561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из них</w:t>
      </w:r>
      <w:r w:rsidR="001B32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F561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5,8 тыс. человек (или </w:t>
      </w:r>
      <w:r w:rsidR="00B55A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54,0</w:t>
      </w:r>
      <w:r w:rsidR="00F561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%)</w:t>
      </w:r>
      <w:r w:rsidR="006431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поступили сразу по окончании 11 классов школы</w:t>
      </w:r>
      <w:r w:rsidR="001B32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="00AB6F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B32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5,4</w:t>
      </w:r>
      <w:r w:rsidR="003D1F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</w:t>
      </w:r>
      <w:r w:rsidR="002F0D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человек </w:t>
      </w:r>
      <w:r w:rsidR="001B32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3D1F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бюджетные места (</w:t>
      </w:r>
      <w:r w:rsidR="001B32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50,9%</w:t>
      </w:r>
      <w:r w:rsidR="003D1F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6431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103E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03E9F">
        <w:rPr>
          <w:rFonts w:ascii="Times New Roman" w:hAnsi="Times New Roman" w:cs="Times New Roman"/>
          <w:sz w:val="26"/>
          <w:szCs w:val="26"/>
        </w:rPr>
        <w:t xml:space="preserve">За последние пять лет </w:t>
      </w:r>
      <w:r w:rsidR="00103E9F" w:rsidRPr="00870DB6">
        <w:rPr>
          <w:rFonts w:ascii="Times New Roman" w:hAnsi="Times New Roman" w:cs="Times New Roman"/>
          <w:sz w:val="26"/>
          <w:szCs w:val="26"/>
        </w:rPr>
        <w:t xml:space="preserve">число </w:t>
      </w:r>
      <w:r w:rsidR="00103E9F">
        <w:rPr>
          <w:rFonts w:ascii="Times New Roman" w:hAnsi="Times New Roman" w:cs="Times New Roman"/>
          <w:sz w:val="26"/>
          <w:szCs w:val="26"/>
        </w:rPr>
        <w:t>первокурсников</w:t>
      </w:r>
      <w:r w:rsidR="00103E9F" w:rsidRPr="00870DB6">
        <w:rPr>
          <w:rFonts w:ascii="Times New Roman" w:hAnsi="Times New Roman" w:cs="Times New Roman"/>
          <w:sz w:val="26"/>
          <w:szCs w:val="26"/>
        </w:rPr>
        <w:t xml:space="preserve"> </w:t>
      </w:r>
      <w:r w:rsidR="008360B2">
        <w:rPr>
          <w:rFonts w:ascii="Times New Roman" w:hAnsi="Times New Roman" w:cs="Times New Roman"/>
          <w:sz w:val="26"/>
          <w:szCs w:val="26"/>
        </w:rPr>
        <w:t>сократилось</w:t>
      </w:r>
      <w:r w:rsidR="00103E9F" w:rsidRPr="00870DB6">
        <w:rPr>
          <w:rFonts w:ascii="Times New Roman" w:hAnsi="Times New Roman" w:cs="Times New Roman"/>
          <w:sz w:val="26"/>
          <w:szCs w:val="26"/>
        </w:rPr>
        <w:t xml:space="preserve"> на </w:t>
      </w:r>
      <w:r w:rsidR="008360B2">
        <w:rPr>
          <w:rFonts w:ascii="Times New Roman" w:hAnsi="Times New Roman" w:cs="Times New Roman"/>
          <w:sz w:val="26"/>
          <w:szCs w:val="26"/>
        </w:rPr>
        <w:t>9</w:t>
      </w:r>
      <w:r w:rsidR="00103E9F" w:rsidRPr="00870DB6">
        <w:rPr>
          <w:rFonts w:ascii="Times New Roman" w:hAnsi="Times New Roman" w:cs="Times New Roman"/>
          <w:sz w:val="26"/>
          <w:szCs w:val="26"/>
        </w:rPr>
        <w:t>,</w:t>
      </w:r>
      <w:r w:rsidR="008360B2">
        <w:rPr>
          <w:rFonts w:ascii="Times New Roman" w:hAnsi="Times New Roman" w:cs="Times New Roman"/>
          <w:sz w:val="26"/>
          <w:szCs w:val="26"/>
        </w:rPr>
        <w:t>8</w:t>
      </w:r>
      <w:r w:rsidR="00103E9F" w:rsidRPr="00870DB6">
        <w:rPr>
          <w:rFonts w:ascii="Times New Roman" w:hAnsi="Times New Roman" w:cs="Times New Roman"/>
          <w:sz w:val="26"/>
          <w:szCs w:val="26"/>
        </w:rPr>
        <w:t>%</w:t>
      </w:r>
      <w:r w:rsidR="008360B2">
        <w:rPr>
          <w:rFonts w:ascii="Times New Roman" w:hAnsi="Times New Roman" w:cs="Times New Roman"/>
          <w:sz w:val="26"/>
          <w:szCs w:val="26"/>
        </w:rPr>
        <w:t>.</w:t>
      </w:r>
    </w:p>
    <w:p w:rsidR="00F949FB" w:rsidRDefault="00103E9F" w:rsidP="00F94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данным выборочного обследования рабочей силы за 2019 год удельный вес жителей Алтайского края (в возрасте 15 лет и старше), имеющих высшее профессиональное образования, составил 24,5%, что на 9,2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ниже, чем в целом по России. </w:t>
      </w:r>
      <w:r w:rsidR="00F949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Доля жителей края, не имеющих основного общего образования </w:t>
      </w:r>
      <w:r w:rsidR="00F949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(9 классов школы), - 0,8% (или 8,8 тыс. человек).</w:t>
      </w:r>
    </w:p>
    <w:p w:rsidR="001309B0" w:rsidRDefault="00801B04" w:rsidP="00F94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</w:t>
      </w:r>
      <w:r w:rsidR="001309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олее подробную информацию об образовании жителей региона покажет Всероссийская перепись населения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которая состоится в апреле 2021 года. Станет известно, сколько в каждом муниципалитете квалифицированных рабочих, специалистов среднего звена, </w:t>
      </w:r>
      <w:r w:rsidR="00492F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 также обучившихся по программам высшего образования: «</w:t>
      </w:r>
      <w:proofErr w:type="spellStart"/>
      <w:r w:rsidR="00492F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бакалавриат</w:t>
      </w:r>
      <w:proofErr w:type="spellEnd"/>
      <w:r w:rsidR="00492F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», «</w:t>
      </w:r>
      <w:proofErr w:type="spellStart"/>
      <w:r w:rsidR="00492F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специалитет</w:t>
      </w:r>
      <w:proofErr w:type="spellEnd"/>
      <w:r w:rsidR="00492F2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 и</w:t>
      </w:r>
      <w:r w:rsidR="00492F24" w:rsidRPr="001309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«магистратура».</w:t>
      </w:r>
    </w:p>
    <w:p w:rsidR="001309B0" w:rsidRDefault="001309B0" w:rsidP="00F94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693"/>
        <w:gridCol w:w="3508"/>
      </w:tblGrid>
      <w:tr w:rsidR="00FE6826" w:rsidTr="00935694">
        <w:tc>
          <w:tcPr>
            <w:tcW w:w="3369" w:type="dxa"/>
          </w:tcPr>
          <w:p w:rsidR="00FE6826" w:rsidRDefault="00FE6826" w:rsidP="00FE68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80F49">
              <w:rPr>
                <w:rFonts w:ascii="Times New Roman" w:hAnsi="Times New Roman" w:cs="Times New Roman"/>
                <w:noProof/>
                <w:color w:val="E5B8B7" w:themeColor="accent2" w:themeTint="66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229C48D7" wp14:editId="60A31BAC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9525</wp:posOffset>
                  </wp:positionV>
                  <wp:extent cx="2209800" cy="2438400"/>
                  <wp:effectExtent l="0" t="0" r="0" b="0"/>
                  <wp:wrapSquare wrapText="bothSides"/>
                  <wp:docPr id="5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:rsidR="00FE6826" w:rsidRDefault="00FE6826" w:rsidP="00F56E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E6826" w:rsidRPr="00F01EE3" w:rsidRDefault="00935694" w:rsidP="00856D50">
            <w:pPr>
              <w:spacing w:before="360" w:after="120" w:line="240" w:lineRule="exact"/>
              <w:ind w:right="-108"/>
              <w:jc w:val="center"/>
              <w:rPr>
                <w:rFonts w:ascii="Franklin Gothic Medium Cond" w:eastAsia="Times New Roman" w:hAnsi="Franklin Gothic Medium Cond" w:cs="Times New Roman"/>
                <w:color w:val="17365D" w:themeColor="text2" w:themeShade="BF"/>
                <w:sz w:val="24"/>
                <w:szCs w:val="24"/>
                <w:lang w:eastAsia="ru-RU"/>
              </w:rPr>
            </w:pPr>
            <w:r w:rsidRPr="00F01EE3">
              <w:rPr>
                <w:rFonts w:ascii="Franklin Gothic Medium Cond" w:eastAsia="Times New Roman" w:hAnsi="Franklin Gothic Medium Cond" w:cs="Times New Roman"/>
                <w:color w:val="17365D" w:themeColor="text2" w:themeShade="BF"/>
                <w:sz w:val="24"/>
                <w:szCs w:val="24"/>
                <w:lang w:eastAsia="ru-RU"/>
              </w:rPr>
              <w:t>Высшее профессиональное</w:t>
            </w:r>
          </w:p>
          <w:p w:rsidR="00935694" w:rsidRPr="00F01EE3" w:rsidRDefault="00935694" w:rsidP="00856D50">
            <w:pPr>
              <w:spacing w:before="360" w:after="160" w:line="240" w:lineRule="exact"/>
              <w:ind w:right="-108"/>
              <w:jc w:val="center"/>
              <w:rPr>
                <w:rFonts w:ascii="Franklin Gothic Medium Cond" w:eastAsia="Times New Roman" w:hAnsi="Franklin Gothic Medium Cond" w:cs="Times New Roman"/>
                <w:color w:val="365F91" w:themeColor="accent1" w:themeShade="BF"/>
                <w:sz w:val="24"/>
                <w:szCs w:val="24"/>
                <w:lang w:eastAsia="ru-RU"/>
              </w:rPr>
            </w:pPr>
            <w:r w:rsidRPr="00F01EE3">
              <w:rPr>
                <w:rFonts w:ascii="Franklin Gothic Medium Cond" w:eastAsia="Times New Roman" w:hAnsi="Franklin Gothic Medium Cond" w:cs="Times New Roman"/>
                <w:color w:val="365F91" w:themeColor="accent1" w:themeShade="BF"/>
                <w:sz w:val="24"/>
                <w:szCs w:val="24"/>
                <w:lang w:eastAsia="ru-RU"/>
              </w:rPr>
              <w:t>Среднее профессиональное</w:t>
            </w:r>
          </w:p>
          <w:p w:rsidR="009D43BA" w:rsidRPr="00F01EE3" w:rsidRDefault="009D43BA" w:rsidP="00856D50">
            <w:pPr>
              <w:spacing w:before="280" w:after="300" w:line="240" w:lineRule="exact"/>
              <w:ind w:right="-108"/>
              <w:jc w:val="center"/>
              <w:rPr>
                <w:rFonts w:ascii="Franklin Gothic Medium Cond" w:eastAsia="Times New Roman" w:hAnsi="Franklin Gothic Medium Cond" w:cs="Times New Roman"/>
                <w:color w:val="31849B" w:themeColor="accent5" w:themeShade="BF"/>
                <w:sz w:val="24"/>
                <w:szCs w:val="24"/>
                <w:lang w:eastAsia="ru-RU"/>
              </w:rPr>
            </w:pPr>
            <w:r w:rsidRPr="00F01EE3">
              <w:rPr>
                <w:rFonts w:ascii="Franklin Gothic Medium Cond" w:eastAsia="Times New Roman" w:hAnsi="Franklin Gothic Medium Cond" w:cs="Times New Roman"/>
                <w:color w:val="31849B" w:themeColor="accent5" w:themeShade="BF"/>
                <w:sz w:val="24"/>
                <w:szCs w:val="24"/>
                <w:lang w:eastAsia="ru-RU"/>
              </w:rPr>
              <w:t xml:space="preserve">Среднее общее (11 </w:t>
            </w:r>
            <w:proofErr w:type="spellStart"/>
            <w:r w:rsidRPr="00F01EE3">
              <w:rPr>
                <w:rFonts w:ascii="Franklin Gothic Medium Cond" w:eastAsia="Times New Roman" w:hAnsi="Franklin Gothic Medium Cond" w:cs="Times New Roman"/>
                <w:color w:val="31849B" w:themeColor="accent5" w:themeShade="BF"/>
                <w:sz w:val="24"/>
                <w:szCs w:val="24"/>
                <w:lang w:eastAsia="ru-RU"/>
              </w:rPr>
              <w:t>кл</w:t>
            </w:r>
            <w:proofErr w:type="spellEnd"/>
            <w:r w:rsidRPr="00F01EE3">
              <w:rPr>
                <w:rFonts w:ascii="Franklin Gothic Medium Cond" w:eastAsia="Times New Roman" w:hAnsi="Franklin Gothic Medium Cond" w:cs="Times New Roman"/>
                <w:color w:val="31849B" w:themeColor="accent5" w:themeShade="BF"/>
                <w:sz w:val="24"/>
                <w:szCs w:val="24"/>
                <w:lang w:eastAsia="ru-RU"/>
              </w:rPr>
              <w:t>.)</w:t>
            </w:r>
          </w:p>
          <w:p w:rsidR="009D43BA" w:rsidRPr="00F01EE3" w:rsidRDefault="009D43BA" w:rsidP="00856D50">
            <w:pPr>
              <w:spacing w:before="160" w:after="320" w:line="240" w:lineRule="exact"/>
              <w:ind w:right="-108"/>
              <w:jc w:val="center"/>
              <w:rPr>
                <w:rFonts w:ascii="Franklin Gothic Medium Cond" w:eastAsia="Times New Roman" w:hAnsi="Franklin Gothic Medium Cond" w:cs="Times New Roman"/>
                <w:color w:val="000000"/>
                <w:sz w:val="24"/>
                <w:szCs w:val="24"/>
                <w:lang w:eastAsia="ru-RU"/>
              </w:rPr>
            </w:pPr>
            <w:r w:rsidRPr="00F01EE3">
              <w:rPr>
                <w:rFonts w:ascii="Franklin Gothic Medium Cond" w:eastAsia="Times New Roman" w:hAnsi="Franklin Gothic Medium Cond" w:cs="Times New Roman"/>
                <w:color w:val="4F6228" w:themeColor="accent3" w:themeShade="80"/>
                <w:sz w:val="24"/>
                <w:szCs w:val="24"/>
                <w:lang w:eastAsia="ru-RU"/>
              </w:rPr>
              <w:t xml:space="preserve">Основное общее (9 </w:t>
            </w:r>
            <w:proofErr w:type="spellStart"/>
            <w:r w:rsidRPr="00F01EE3">
              <w:rPr>
                <w:rFonts w:ascii="Franklin Gothic Medium Cond" w:eastAsia="Times New Roman" w:hAnsi="Franklin Gothic Medium Cond" w:cs="Times New Roman"/>
                <w:color w:val="4F6228" w:themeColor="accent3" w:themeShade="80"/>
                <w:sz w:val="24"/>
                <w:szCs w:val="24"/>
                <w:lang w:eastAsia="ru-RU"/>
              </w:rPr>
              <w:t>кл</w:t>
            </w:r>
            <w:proofErr w:type="spellEnd"/>
            <w:r w:rsidRPr="00F01EE3">
              <w:rPr>
                <w:rFonts w:ascii="Franklin Gothic Medium Cond" w:eastAsia="Times New Roman" w:hAnsi="Franklin Gothic Medium Cond" w:cs="Times New Roman"/>
                <w:color w:val="4F6228" w:themeColor="accent3" w:themeShade="80"/>
                <w:sz w:val="24"/>
                <w:szCs w:val="24"/>
                <w:lang w:eastAsia="ru-RU"/>
              </w:rPr>
              <w:t>.)</w:t>
            </w:r>
          </w:p>
          <w:p w:rsidR="009D43BA" w:rsidRPr="00F01EE3" w:rsidRDefault="009D43BA" w:rsidP="00856D50">
            <w:pPr>
              <w:spacing w:before="60" w:line="240" w:lineRule="exact"/>
              <w:ind w:right="-108"/>
              <w:jc w:val="center"/>
              <w:rPr>
                <w:rFonts w:ascii="Franklin Gothic Medium Cond" w:eastAsia="Times New Roman" w:hAnsi="Franklin Gothic Medium Cond" w:cs="Times New Roman"/>
                <w:color w:val="1D1B11" w:themeColor="background2" w:themeShade="1A"/>
                <w:sz w:val="24"/>
                <w:szCs w:val="24"/>
                <w:lang w:eastAsia="ru-RU"/>
              </w:rPr>
            </w:pPr>
            <w:r w:rsidRPr="00F01EE3">
              <w:rPr>
                <w:rFonts w:ascii="Franklin Gothic Medium Cond" w:eastAsia="Times New Roman" w:hAnsi="Franklin Gothic Medium Cond" w:cs="Times New Roman"/>
                <w:color w:val="1D1B11" w:themeColor="background2" w:themeShade="1A"/>
                <w:sz w:val="24"/>
                <w:szCs w:val="24"/>
                <w:lang w:eastAsia="ru-RU"/>
              </w:rPr>
              <w:t>Не имеют основного общего</w:t>
            </w:r>
          </w:p>
          <w:p w:rsidR="00935694" w:rsidRDefault="00935694" w:rsidP="00935694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08" w:type="dxa"/>
          </w:tcPr>
          <w:p w:rsidR="00FE6826" w:rsidRDefault="00FE6826" w:rsidP="00F56E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664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697ED5" wp14:editId="26339A0E">
                  <wp:extent cx="2247900" cy="2438400"/>
                  <wp:effectExtent l="0" t="0" r="0" b="0"/>
                  <wp:docPr id="6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FE6826" w:rsidRDefault="00FE6826" w:rsidP="00F56E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346432" w:rsidRPr="00492F24" w:rsidRDefault="0026557D" w:rsidP="00265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2F24">
        <w:rPr>
          <w:rFonts w:ascii="Times New Roman" w:hAnsi="Times New Roman" w:cs="Times New Roman"/>
          <w:b/>
          <w:sz w:val="24"/>
          <w:szCs w:val="24"/>
        </w:rPr>
        <w:t>Рис</w:t>
      </w:r>
      <w:r w:rsidR="001E0E21" w:rsidRPr="00492F24">
        <w:rPr>
          <w:rFonts w:ascii="Times New Roman" w:hAnsi="Times New Roman" w:cs="Times New Roman"/>
          <w:b/>
          <w:sz w:val="24"/>
          <w:szCs w:val="24"/>
        </w:rPr>
        <w:t>.</w:t>
      </w:r>
      <w:r w:rsidRPr="00492F24">
        <w:rPr>
          <w:rFonts w:ascii="Times New Roman" w:hAnsi="Times New Roman" w:cs="Times New Roman"/>
          <w:b/>
          <w:sz w:val="24"/>
          <w:szCs w:val="24"/>
        </w:rPr>
        <w:t xml:space="preserve"> Структура рабочей силы в возрасте 15 лет и старше </w:t>
      </w:r>
      <w:r w:rsidRPr="00492F24">
        <w:rPr>
          <w:rFonts w:ascii="Times New Roman" w:hAnsi="Times New Roman" w:cs="Times New Roman"/>
          <w:b/>
          <w:sz w:val="24"/>
          <w:szCs w:val="24"/>
        </w:rPr>
        <w:br/>
        <w:t>по уровню образования</w:t>
      </w:r>
      <w:r w:rsidR="007A15FB" w:rsidRPr="00492F24">
        <w:rPr>
          <w:rFonts w:ascii="Times New Roman" w:hAnsi="Times New Roman" w:cs="Times New Roman"/>
          <w:b/>
          <w:sz w:val="24"/>
          <w:szCs w:val="24"/>
        </w:rPr>
        <w:t xml:space="preserve"> в 2019 году</w:t>
      </w:r>
      <w:r w:rsidRPr="00492F24">
        <w:rPr>
          <w:rFonts w:ascii="Times New Roman" w:hAnsi="Times New Roman" w:cs="Times New Roman"/>
          <w:b/>
          <w:sz w:val="24"/>
          <w:szCs w:val="24"/>
        </w:rPr>
        <w:t xml:space="preserve">, % </w:t>
      </w:r>
    </w:p>
    <w:p w:rsidR="00F949FB" w:rsidRDefault="00F949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F949FB" w:rsidSect="00492F24">
      <w:pgSz w:w="11906" w:h="16838"/>
      <w:pgMar w:top="567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C74" w:rsidRDefault="00825C74" w:rsidP="00F225F3">
      <w:pPr>
        <w:spacing w:after="0" w:line="240" w:lineRule="auto"/>
      </w:pPr>
      <w:r>
        <w:separator/>
      </w:r>
    </w:p>
  </w:endnote>
  <w:endnote w:type="continuationSeparator" w:id="0">
    <w:p w:rsidR="00825C74" w:rsidRDefault="00825C74" w:rsidP="00F22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C74" w:rsidRDefault="00825C74" w:rsidP="00F225F3">
      <w:pPr>
        <w:spacing w:after="0" w:line="240" w:lineRule="auto"/>
      </w:pPr>
      <w:r>
        <w:separator/>
      </w:r>
    </w:p>
  </w:footnote>
  <w:footnote w:type="continuationSeparator" w:id="0">
    <w:p w:rsidR="00825C74" w:rsidRDefault="00825C74" w:rsidP="00F225F3">
      <w:pPr>
        <w:spacing w:after="0" w:line="240" w:lineRule="auto"/>
      </w:pPr>
      <w:r>
        <w:continuationSeparator/>
      </w:r>
    </w:p>
  </w:footnote>
  <w:footnote w:id="1">
    <w:p w:rsidR="00F225F3" w:rsidRPr="00492F24" w:rsidRDefault="00F225F3" w:rsidP="005F3FC0">
      <w:pPr>
        <w:pStyle w:val="a4"/>
        <w:spacing w:line="240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492F24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492F24">
        <w:rPr>
          <w:rFonts w:ascii="Times New Roman" w:hAnsi="Times New Roman" w:cs="Times New Roman"/>
          <w:sz w:val="18"/>
          <w:szCs w:val="18"/>
        </w:rPr>
        <w:t xml:space="preserve"> Источник данных по общему образованию и среднему профессиональному образованию – Министерство просвещения Российской Федерации.</w:t>
      </w:r>
    </w:p>
  </w:footnote>
  <w:footnote w:id="2">
    <w:p w:rsidR="00F225F3" w:rsidRPr="00492F24" w:rsidRDefault="00F225F3" w:rsidP="005F3FC0">
      <w:pPr>
        <w:pStyle w:val="a4"/>
        <w:spacing w:line="240" w:lineRule="exact"/>
        <w:jc w:val="both"/>
        <w:rPr>
          <w:sz w:val="18"/>
          <w:szCs w:val="18"/>
        </w:rPr>
      </w:pPr>
      <w:r w:rsidRPr="00492F24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492F24">
        <w:rPr>
          <w:rFonts w:ascii="Times New Roman" w:hAnsi="Times New Roman" w:cs="Times New Roman"/>
          <w:sz w:val="18"/>
          <w:szCs w:val="18"/>
        </w:rPr>
        <w:t xml:space="preserve"> Источник данных высшему профессиональному образованию – Министерство науки и высшего образования Российской Федерации.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E4E"/>
    <w:rsid w:val="00045B2A"/>
    <w:rsid w:val="000C2B15"/>
    <w:rsid w:val="000F1E4E"/>
    <w:rsid w:val="000F6482"/>
    <w:rsid w:val="00100E0B"/>
    <w:rsid w:val="00101E89"/>
    <w:rsid w:val="00103E9F"/>
    <w:rsid w:val="001309B0"/>
    <w:rsid w:val="00135109"/>
    <w:rsid w:val="00155792"/>
    <w:rsid w:val="001B149D"/>
    <w:rsid w:val="001B32DD"/>
    <w:rsid w:val="001C38A9"/>
    <w:rsid w:val="001D64AA"/>
    <w:rsid w:val="001E0E21"/>
    <w:rsid w:val="0026557D"/>
    <w:rsid w:val="00294C69"/>
    <w:rsid w:val="002C2FF5"/>
    <w:rsid w:val="002F0D92"/>
    <w:rsid w:val="00346432"/>
    <w:rsid w:val="003527BE"/>
    <w:rsid w:val="0036443C"/>
    <w:rsid w:val="00386DB7"/>
    <w:rsid w:val="00395BBA"/>
    <w:rsid w:val="003D1F70"/>
    <w:rsid w:val="003E79C4"/>
    <w:rsid w:val="003F7F76"/>
    <w:rsid w:val="00402917"/>
    <w:rsid w:val="00492F24"/>
    <w:rsid w:val="00540716"/>
    <w:rsid w:val="00547957"/>
    <w:rsid w:val="0055641B"/>
    <w:rsid w:val="005642A9"/>
    <w:rsid w:val="005A4197"/>
    <w:rsid w:val="005C20A7"/>
    <w:rsid w:val="005D138E"/>
    <w:rsid w:val="005F3FC0"/>
    <w:rsid w:val="0064310B"/>
    <w:rsid w:val="006436C4"/>
    <w:rsid w:val="00653EA3"/>
    <w:rsid w:val="006F383C"/>
    <w:rsid w:val="00701D59"/>
    <w:rsid w:val="00705904"/>
    <w:rsid w:val="00714D84"/>
    <w:rsid w:val="00726B97"/>
    <w:rsid w:val="0074073C"/>
    <w:rsid w:val="007A15FB"/>
    <w:rsid w:val="007A364B"/>
    <w:rsid w:val="007C52C6"/>
    <w:rsid w:val="007E49D1"/>
    <w:rsid w:val="007F715B"/>
    <w:rsid w:val="007F7A2B"/>
    <w:rsid w:val="00801B04"/>
    <w:rsid w:val="00825C74"/>
    <w:rsid w:val="008360B2"/>
    <w:rsid w:val="00847263"/>
    <w:rsid w:val="00856D50"/>
    <w:rsid w:val="00870DB6"/>
    <w:rsid w:val="0089693F"/>
    <w:rsid w:val="008C68B6"/>
    <w:rsid w:val="00907E5D"/>
    <w:rsid w:val="00907EC2"/>
    <w:rsid w:val="00922AAA"/>
    <w:rsid w:val="00935694"/>
    <w:rsid w:val="00944BE3"/>
    <w:rsid w:val="009A5B1C"/>
    <w:rsid w:val="009B75C7"/>
    <w:rsid w:val="009C2DAD"/>
    <w:rsid w:val="009D43BA"/>
    <w:rsid w:val="009E0BCB"/>
    <w:rsid w:val="009E2AF7"/>
    <w:rsid w:val="00A05819"/>
    <w:rsid w:val="00A07B5B"/>
    <w:rsid w:val="00A10428"/>
    <w:rsid w:val="00A531EF"/>
    <w:rsid w:val="00A70705"/>
    <w:rsid w:val="00A819FD"/>
    <w:rsid w:val="00AB6FC6"/>
    <w:rsid w:val="00B160C1"/>
    <w:rsid w:val="00B20C9E"/>
    <w:rsid w:val="00B4435E"/>
    <w:rsid w:val="00B55A19"/>
    <w:rsid w:val="00B72E35"/>
    <w:rsid w:val="00B8614A"/>
    <w:rsid w:val="00B97B9F"/>
    <w:rsid w:val="00BB58D3"/>
    <w:rsid w:val="00C0637D"/>
    <w:rsid w:val="00C3192B"/>
    <w:rsid w:val="00C32839"/>
    <w:rsid w:val="00C52794"/>
    <w:rsid w:val="00C52B4B"/>
    <w:rsid w:val="00C605A3"/>
    <w:rsid w:val="00C97A75"/>
    <w:rsid w:val="00CE2445"/>
    <w:rsid w:val="00CF44A9"/>
    <w:rsid w:val="00CF5044"/>
    <w:rsid w:val="00D23E3A"/>
    <w:rsid w:val="00D37CDA"/>
    <w:rsid w:val="00D7797C"/>
    <w:rsid w:val="00DB06A0"/>
    <w:rsid w:val="00DB1CE5"/>
    <w:rsid w:val="00DF3DA5"/>
    <w:rsid w:val="00DF7948"/>
    <w:rsid w:val="00E2668E"/>
    <w:rsid w:val="00E30F51"/>
    <w:rsid w:val="00E32698"/>
    <w:rsid w:val="00EB4F64"/>
    <w:rsid w:val="00EF351F"/>
    <w:rsid w:val="00EF37EB"/>
    <w:rsid w:val="00F01EE3"/>
    <w:rsid w:val="00F225F3"/>
    <w:rsid w:val="00F3718F"/>
    <w:rsid w:val="00F47836"/>
    <w:rsid w:val="00F50F0C"/>
    <w:rsid w:val="00F5613A"/>
    <w:rsid w:val="00F56E06"/>
    <w:rsid w:val="00F803C6"/>
    <w:rsid w:val="00F84EDA"/>
    <w:rsid w:val="00F949FB"/>
    <w:rsid w:val="00FC6AD7"/>
    <w:rsid w:val="00FD0713"/>
    <w:rsid w:val="00FD5537"/>
    <w:rsid w:val="00FE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84E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DB6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F225F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225F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225F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E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E2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E0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84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84E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0DB6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F225F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225F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225F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E0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E2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E0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84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7"/>
    </mc:Choice>
    <mc:Fallback>
      <c:style val="27"/>
    </mc:Fallback>
  </mc:AlternateContent>
  <c:chart>
    <c:title>
      <c:tx>
        <c:rich>
          <a:bodyPr/>
          <a:lstStyle/>
          <a:p>
            <a:pPr>
              <a:defRPr b="0">
                <a:solidFill>
                  <a:schemeClr val="tx2"/>
                </a:solidFill>
              </a:defRPr>
            </a:pPr>
            <a:r>
              <a:rPr lang="ru-RU" b="0">
                <a:solidFill>
                  <a:schemeClr val="tx2"/>
                </a:solidFill>
              </a:rPr>
              <a:t>Россия</a:t>
            </a:r>
          </a:p>
        </c:rich>
      </c:tx>
      <c:layout>
        <c:manualLayout>
          <c:xMode val="edge"/>
          <c:yMode val="edge"/>
          <c:x val="0.41712123407886897"/>
          <c:y val="0"/>
        </c:manualLayout>
      </c:layout>
      <c:overlay val="0"/>
    </c:title>
    <c:autoTitleDeleted val="0"/>
    <c:view3D>
      <c:rotX val="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103448275862069"/>
          <c:y val="0.11453740157480315"/>
          <c:w val="0.76580459770114939"/>
          <c:h val="0.75947219488188977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</c:spPr>
          <c:invertIfNegative val="0"/>
          <c:dPt>
            <c:idx val="1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  <a:scene3d>
                <a:camera prst="orthographicFront"/>
                <a:lightRig rig="threePt" dir="t"/>
              </a:scene3d>
            </c:spPr>
          </c:dPt>
          <c:dPt>
            <c:idx val="2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scene3d>
                <a:camera prst="orthographicFront"/>
                <a:lightRig rig="threePt" dir="t"/>
              </a:scene3d>
            </c:spPr>
          </c:dPt>
          <c:dPt>
            <c:idx val="4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  <a:scene3d>
                <a:camera prst="orthographicFront"/>
                <a:lightRig rig="threePt" dir="t"/>
              </a:scene3d>
            </c:spPr>
          </c:dPt>
          <c:dLbls>
            <c:dLbl>
              <c:idx val="0"/>
              <c:spPr/>
              <c:txPr>
                <a:bodyPr/>
                <a:lstStyle/>
                <a:p>
                  <a:pPr>
                    <a:defRPr b="1">
                      <a:solidFill>
                        <a:schemeClr val="bg2">
                          <a:lumMod val="25000"/>
                        </a:schemeClr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 b="1">
                      <a:solidFill>
                        <a:schemeClr val="accent3">
                          <a:lumMod val="50000"/>
                        </a:schemeClr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/>
              <c:txPr>
                <a:bodyPr/>
                <a:lstStyle/>
                <a:p>
                  <a:pPr>
                    <a:defRPr b="1">
                      <a:solidFill>
                        <a:schemeClr val="accent5">
                          <a:lumMod val="75000"/>
                        </a:schemeClr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/>
              <c:txPr>
                <a:bodyPr/>
                <a:lstStyle/>
                <a:p>
                  <a:pPr>
                    <a:defRPr b="1">
                      <a:solidFill>
                        <a:schemeClr val="accent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3433794913566841E-3"/>
                  <c:y val="7.853510498687903E-4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chemeClr val="tx2">
                          <a:lumMod val="75000"/>
                        </a:schemeClr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не имеют основного общего</c:v>
                </c:pt>
                <c:pt idx="1">
                  <c:v>основное общее</c:v>
                </c:pt>
                <c:pt idx="2">
                  <c:v>среднее общее</c:v>
                </c:pt>
                <c:pt idx="3">
                  <c:v>среднее профессиональное</c:v>
                </c:pt>
                <c:pt idx="4">
                  <c:v>высшее прошессиональное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0.3</c:v>
                </c:pt>
                <c:pt idx="1">
                  <c:v>3.9</c:v>
                </c:pt>
                <c:pt idx="2">
                  <c:v>17.399999999999999</c:v>
                </c:pt>
                <c:pt idx="3">
                  <c:v>44.7</c:v>
                </c:pt>
                <c:pt idx="4">
                  <c:v>33.700000000000003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cylinder"/>
        <c:axId val="65161856"/>
        <c:axId val="117593216"/>
        <c:axId val="0"/>
      </c:bar3DChart>
      <c:catAx>
        <c:axId val="65161856"/>
        <c:scaling>
          <c:orientation val="minMax"/>
        </c:scaling>
        <c:delete val="1"/>
        <c:axPos val="r"/>
        <c:majorGridlines>
          <c:spPr>
            <a:ln>
              <a:noFill/>
            </a:ln>
          </c:spPr>
        </c:majorGridlines>
        <c:majorTickMark val="out"/>
        <c:minorTickMark val="none"/>
        <c:tickLblPos val="nextTo"/>
        <c:crossAx val="117593216"/>
        <c:crosses val="autoZero"/>
        <c:auto val="1"/>
        <c:lblAlgn val="l"/>
        <c:lblOffset val="100"/>
        <c:noMultiLvlLbl val="0"/>
      </c:catAx>
      <c:valAx>
        <c:axId val="117593216"/>
        <c:scaling>
          <c:orientation val="maxMin"/>
          <c:max val="40"/>
          <c:min val="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5161856"/>
        <c:crosses val="autoZero"/>
        <c:crossBetween val="between"/>
        <c:majorUnit val="1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300" b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chemeClr val="accent2">
                    <a:lumMod val="75000"/>
                  </a:schemeClr>
                </a:solidFill>
              </a:defRPr>
            </a:pPr>
            <a:r>
              <a:rPr lang="ru-RU">
                <a:solidFill>
                  <a:schemeClr val="accent2">
                    <a:lumMod val="75000"/>
                  </a:schemeClr>
                </a:solidFill>
              </a:rPr>
              <a:t>Алтайский край</a:t>
            </a:r>
          </a:p>
        </c:rich>
      </c:tx>
      <c:layout>
        <c:manualLayout>
          <c:xMode val="edge"/>
          <c:yMode val="edge"/>
          <c:x val="0.12079858352491404"/>
          <c:y val="4.8980647492056191E-3"/>
        </c:manualLayout>
      </c:layout>
      <c:overlay val="0"/>
    </c:title>
    <c:autoTitleDeleted val="0"/>
    <c:view3D>
      <c:rotX val="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5852077561263131E-2"/>
          <c:y val="0.12867971963274705"/>
          <c:w val="0.74152542372881358"/>
          <c:h val="0.7506646151989622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</c:spPr>
          </c:dPt>
          <c:dPt>
            <c:idx val="4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</c:dPt>
          <c:dLbls>
            <c:dLbl>
              <c:idx val="0"/>
              <c:spPr/>
              <c:txPr>
                <a:bodyPr/>
                <a:lstStyle/>
                <a:p>
                  <a:pPr>
                    <a:defRPr b="1">
                      <a:solidFill>
                        <a:schemeClr val="bg2">
                          <a:lumMod val="25000"/>
                        </a:schemeClr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 b="1">
                      <a:solidFill>
                        <a:schemeClr val="accent3">
                          <a:lumMod val="50000"/>
                        </a:schemeClr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/>
              <c:txPr>
                <a:bodyPr/>
                <a:lstStyle/>
                <a:p>
                  <a:pPr>
                    <a:defRPr b="1">
                      <a:solidFill>
                        <a:schemeClr val="accent5">
                          <a:lumMod val="75000"/>
                        </a:schemeClr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pPr>
                      <a:defRPr b="1">
                        <a:solidFill>
                          <a:schemeClr val="accent1"/>
                        </a:solidFill>
                      </a:defRPr>
                    </a:pPr>
                    <a:r>
                      <a:rPr lang="ru-RU">
                        <a:solidFill>
                          <a:schemeClr val="accent1"/>
                        </a:solidFill>
                      </a:rPr>
                      <a:t>45,4</a:t>
                    </a:r>
                    <a:endParaRPr lang="en-US">
                      <a:solidFill>
                        <a:schemeClr val="accent1"/>
                      </a:solidFill>
                    </a:endParaRP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pPr/>
              <c:txPr>
                <a:bodyPr/>
                <a:lstStyle/>
                <a:p>
                  <a:pPr>
                    <a:defRPr b="1">
                      <a:solidFill>
                        <a:schemeClr val="tx2">
                          <a:lumMod val="75000"/>
                        </a:schemeClr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не имеют основного общего</c:v>
                </c:pt>
                <c:pt idx="1">
                  <c:v>основное общее</c:v>
                </c:pt>
                <c:pt idx="2">
                  <c:v>среднее общее</c:v>
                </c:pt>
                <c:pt idx="3">
                  <c:v>среднее профессиональное</c:v>
                </c:pt>
                <c:pt idx="4">
                  <c:v>высшее профессиональное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0.8</c:v>
                </c:pt>
                <c:pt idx="1">
                  <c:v>6.8</c:v>
                </c:pt>
                <c:pt idx="2">
                  <c:v>22.5</c:v>
                </c:pt>
                <c:pt idx="3">
                  <c:v>45.4</c:v>
                </c:pt>
                <c:pt idx="4">
                  <c:v>24.5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9973632"/>
        <c:axId val="131188608"/>
        <c:axId val="0"/>
      </c:bar3DChart>
      <c:catAx>
        <c:axId val="129973632"/>
        <c:scaling>
          <c:orientation val="minMax"/>
        </c:scaling>
        <c:delete val="1"/>
        <c:axPos val="l"/>
        <c:majorTickMark val="out"/>
        <c:minorTickMark val="none"/>
        <c:tickLblPos val="none"/>
        <c:crossAx val="131188608"/>
        <c:crosses val="autoZero"/>
        <c:auto val="1"/>
        <c:lblAlgn val="ctr"/>
        <c:lblOffset val="100"/>
        <c:noMultiLvlLbl val="0"/>
      </c:catAx>
      <c:valAx>
        <c:axId val="131188608"/>
        <c:scaling>
          <c:orientation val="minMax"/>
          <c:max val="4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9973632"/>
        <c:crosses val="autoZero"/>
        <c:crossBetween val="between"/>
        <c:majorUnit val="1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300" b="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F566813-CD8F-470A-8361-2646E0A6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Зиястинов Валерий Валерьевич</cp:lastModifiedBy>
  <cp:revision>3</cp:revision>
  <cp:lastPrinted>2020-09-04T06:26:00Z</cp:lastPrinted>
  <dcterms:created xsi:type="dcterms:W3CDTF">2020-09-04T06:26:00Z</dcterms:created>
  <dcterms:modified xsi:type="dcterms:W3CDTF">2020-09-04T06:26:00Z</dcterms:modified>
</cp:coreProperties>
</file>